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RONPA0842ZPB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300" w:lineRule="auto"/>
        <w:rPr>
          <w:i w:val="1"/>
          <w:iCs w:val="1"/>
          <w:sz w:val="22"/>
          <w:szCs w:val="22"/>
        </w:rPr>
      </w:pP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8">
      <w:pPr>
        <w:spacing w:befor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Pârâul Bozu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☑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☐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☐ Zonă potențială care să devină arie naturală protejată</w:t>
      </w: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Layout w:type="fixed"/>
        <w:tblLook w:val="0400"/>
      </w:tblPr>
      <w:tblGrid>
        <w:gridCol w:w="4500"/>
        <w:gridCol w:w="4500"/>
        <w:tblGridChange w:id="0">
          <w:tblGrid>
            <w:gridCol w:w="4500"/>
            <w:gridCol w:w="4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after="0" w:before="24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0" w:before="24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9000.0" w:type="dxa"/>
        <w:jc w:val="left"/>
        <w:tblLayout w:type="fixed"/>
        <w:tblLook w:val="0400"/>
      </w:tblPr>
      <w:tblGrid>
        <w:gridCol w:w="4466"/>
        <w:gridCol w:w="4534"/>
        <w:tblGridChange w:id="0">
          <w:tblGrid>
            <w:gridCol w:w="4466"/>
            <w:gridCol w:w="453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29,94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99,73%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9000.0" w:type="dxa"/>
        <w:jc w:val="left"/>
        <w:tblLayout w:type="fixed"/>
        <w:tblLook w:val="0400"/>
      </w:tblPr>
      <w:tblGrid>
        <w:gridCol w:w="3164"/>
        <w:gridCol w:w="445"/>
        <w:gridCol w:w="5391"/>
        <w:tblGridChange w:id="0">
          <w:tblGrid>
            <w:gridCol w:w="3164"/>
            <w:gridCol w:w="445"/>
            <w:gridCol w:w="539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Sud-Est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Vrancea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9000.0" w:type="dxa"/>
        <w:jc w:val="left"/>
        <w:tblLayout w:type="fixed"/>
        <w:tblLook w:val="0400"/>
      </w:tblPr>
      <w:tblGrid>
        <w:gridCol w:w="2935"/>
        <w:gridCol w:w="47"/>
        <w:gridCol w:w="3008"/>
        <w:gridCol w:w="47"/>
        <w:gridCol w:w="2963"/>
        <w:tblGridChange w:id="0">
          <w:tblGrid>
            <w:gridCol w:w="2935"/>
            <w:gridCol w:w="47"/>
            <w:gridCol w:w="3008"/>
            <w:gridCol w:w="47"/>
            <w:gridCol w:w="296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Alpină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Continentală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spacing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29,94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Legea nr. 5/2000 (*actualizată) privind aprobarea Planului de amenajare a teritoriului național - Secțiunea a III-a - zone protejate, cu modificările și completările ulterioare: rezervația naturală RONPA0842 Pârâul Bozu;</w:t>
      </w:r>
    </w:p>
    <w:p w:rsidR="00000000" w:rsidDel="00000000" w:rsidP="00000000" w:rsidRDefault="00000000" w:rsidRPr="00000000" w14:paraId="0000006C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Decizia președintelui Agenției Naționale pentru Mediu și Arii Protejate nr. 3.014/ 04.11.2025 privind aprobarea Planului de management al ariei naturale protejate situl Natura 2000 ROSCI0377 Râul Putna și al rezervațiilor naturale 2821 Râpa Roșie - Dealu Mor;</w:t>
      </w:r>
    </w:p>
    <w:p w:rsidR="00000000" w:rsidDel="00000000" w:rsidP="00000000" w:rsidRDefault="00000000" w:rsidRPr="00000000" w14:paraId="0000006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biodiversitate;</w:t>
      </w:r>
    </w:p>
    <w:p w:rsidR="00000000" w:rsidDel="00000000" w:rsidP="00000000" w:rsidRDefault="00000000" w:rsidRPr="00000000" w14:paraId="0000006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9000.0" w:type="dxa"/>
        <w:jc w:val="left"/>
        <w:tblLayout w:type="fixed"/>
        <w:tblLook w:val="0400"/>
      </w:tblPr>
      <w:tblGrid>
        <w:gridCol w:w="4394"/>
        <w:gridCol w:w="4606"/>
        <w:tblGridChange w:id="0">
          <w:tblGrid>
            <w:gridCol w:w="4394"/>
            <w:gridCol w:w="460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3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4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</w:t>
            </w:r>
          </w:p>
          <w:p w:rsidR="00000000" w:rsidDel="00000000" w:rsidP="00000000" w:rsidRDefault="00000000" w:rsidRPr="00000000" w14:paraId="00000075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9110 Păduri de fag de tip Luzulo-Fagetum </w:t>
            </w:r>
            <w:r w:rsidDel="00000000" w:rsidR="00000000" w:rsidRPr="00000000">
              <w:rPr>
                <w:rtl w:val="0"/>
              </w:rPr>
              <w:br w:type="textWrapping"/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91E0* Păduri aluviale de Alnus glutinosa şi Fraxinus excelsior (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Alno-Padion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,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Alnion incanae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,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Salicion albae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6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7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Nevertebrate:</w:t>
            </w:r>
          </w:p>
          <w:p w:rsidR="00000000" w:rsidDel="00000000" w:rsidP="00000000" w:rsidRDefault="00000000" w:rsidRPr="00000000" w14:paraId="00000078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1083 Lucanus cervus</w:t>
            </w:r>
          </w:p>
          <w:p w:rsidR="00000000" w:rsidDel="00000000" w:rsidP="00000000" w:rsidRDefault="00000000" w:rsidRPr="00000000" w14:paraId="00000079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6908 Morimus asper funereus</w:t>
            </w:r>
          </w:p>
          <w:p w:rsidR="00000000" w:rsidDel="00000000" w:rsidP="00000000" w:rsidRDefault="00000000" w:rsidRPr="00000000" w14:paraId="0000007A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Amfibieni și reptile:</w:t>
            </w:r>
          </w:p>
          <w:p w:rsidR="00000000" w:rsidDel="00000000" w:rsidP="00000000" w:rsidRDefault="00000000" w:rsidRPr="00000000" w14:paraId="0000007B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1193 Bombina variegata</w:t>
            </w:r>
          </w:p>
          <w:p w:rsidR="00000000" w:rsidDel="00000000" w:rsidP="00000000" w:rsidRDefault="00000000" w:rsidRPr="00000000" w14:paraId="0000007C">
            <w:pPr>
              <w:spacing w:after="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1220 Emys orbicularis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Zonă prioritară pentru biodiversitate cu ecosisteme forestiere din tipul 1 funcțional și de management activ pentru celelalte, cu rezervație naturală, care cuprinde habitate de păduri temperate europene, inclusiv prioritare, precum și specii de insecte, amfibieni și reptile de interes comunitar.</w:t>
            </w:r>
          </w:p>
          <w:p w:rsidR="00000000" w:rsidDel="00000000" w:rsidP="00000000" w:rsidRDefault="00000000" w:rsidRPr="00000000" w14:paraId="0000007F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specii de interes conservativ asociate pădurilor mature și ecosistemelor forestiere bine conservate.</w:t>
            </w:r>
          </w:p>
          <w:p w:rsidR="00000000" w:rsidDel="00000000" w:rsidP="00000000" w:rsidRDefault="00000000" w:rsidRPr="00000000" w14:paraId="00000080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 naturale, precum și pe valoarea conservativă ridicată a ecosistemelor forestiere prezente.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1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2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L05 Prăbuşiri de teren, alunecări de teren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4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85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86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Menținerea pe termen lung a funcțiilor ecosistemelor forestiere prin monitorizare, control al presiunilor și aplicarea unor măsuri active de conservare/restaurare, adaptate de la caz la caz la structura arboretului și cerințele ecologice ale habitatelor/speciilor, în care  nu este permisă  reglementarea procesului de  producție lemnoasă-produse principale.</w:t>
            </w:r>
          </w:p>
          <w:p w:rsidR="00000000" w:rsidDel="00000000" w:rsidP="00000000" w:rsidRDefault="00000000" w:rsidRPr="00000000" w14:paraId="00000087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88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Menținerea pe termen lung a integrității structurale și funcționale a ecosistemelor forestiere cu naturalitate ridicată, prin lăsarea proceselor naturale să evolueze liber și prin limitarea strictă a presiunilor antropice.</w:t>
            </w:r>
          </w:p>
          <w:p w:rsidR="00000000" w:rsidDel="00000000" w:rsidP="00000000" w:rsidRDefault="00000000" w:rsidRPr="00000000" w14:paraId="00000089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8A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8B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8C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8D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8E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8F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0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1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2">
            <w:pPr>
              <w:spacing w:after="0" w:line="276" w:lineRule="auto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3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4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Panin, N. 1961. Asupra unor urme organice şi mecanice din Miocenul de la confluenţa Putnei cu Zăbala;</w:t>
      </w:r>
    </w:p>
    <w:p w:rsidR="00000000" w:rsidDel="00000000" w:rsidP="00000000" w:rsidRDefault="00000000" w:rsidRPr="00000000" w14:paraId="0000009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Panin, N. 1964. Coexistenţa urmelor de paşi de vertebrate cu mecanoglife în molasa miocenă din Carpaţii Orientali;</w:t>
      </w:r>
    </w:p>
    <w:p w:rsidR="00000000" w:rsidDel="00000000" w:rsidP="00000000" w:rsidRDefault="00000000" w:rsidRPr="00000000" w14:paraId="0000009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Chirita C., Vlad I., Paunescu C., Patrascoiu  N., Rosu  C., Iancu I. 1977  “Statiuni forestiere”, Vol. II, , Ed. Academiei R.S.R., București;</w:t>
      </w:r>
    </w:p>
    <w:p w:rsidR="00000000" w:rsidDel="00000000" w:rsidP="00000000" w:rsidRDefault="00000000" w:rsidRPr="00000000" w14:paraId="0000009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Doniţă, N., Ceianu, I., Purcelean, Ş., &amp; Beldie, A. (1977). Ecologie forestieră:(cu elemente de ecologie generală). Ceres;</w:t>
      </w:r>
    </w:p>
    <w:p w:rsidR="00000000" w:rsidDel="00000000" w:rsidP="00000000" w:rsidRDefault="00000000" w:rsidRPr="00000000" w14:paraId="0000009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BRUSTUR, TITUS 1992. Necesitatea ocrotirii urmelor de activitate animală ale molasei miocen-inferioară din Vrancea. O,  36, nr. 2, p. 121 – 127, Ed. Acad. Romne, Bucureşti;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- Doniţă N., Popescu A., Păucă-Comănescu M., Mihăilescu S., Biriş I.- A. 2005. Habitatele din România;</w:t>
      </w:r>
    </w:p>
    <w:p w:rsidR="00000000" w:rsidDel="00000000" w:rsidP="00000000" w:rsidRDefault="00000000" w:rsidRPr="00000000" w14:paraId="0000009C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</w:rPr>
      </w:pPr>
      <w:bookmarkStart w:colFirst="0" w:colLast="0" w:name="_heading=h.n3fc5tmm97nz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bookmarkStart w:colFirst="0" w:colLast="0" w:name="_heading=h.j507r85n5ilx" w:id="1"/>
      <w:bookmarkEnd w:id="1"/>
      <w:r w:rsidDel="00000000" w:rsidR="00000000" w:rsidRPr="00000000">
        <w:rPr>
          <w:color w:val="000000"/>
          <w:sz w:val="22"/>
          <w:szCs w:val="22"/>
          <w:rtl w:val="0"/>
        </w:rPr>
        <w:t xml:space="preserve">Consultările publice au fost realizate la: 10 aprilie 2025 – Focșani, 23 iunie 2025 – corespondență electronică DS Vrancea.</w:t>
      </w:r>
    </w:p>
    <w:p w:rsidR="00000000" w:rsidDel="00000000" w:rsidP="00000000" w:rsidRDefault="00000000" w:rsidRPr="00000000" w14:paraId="000000A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Ulterior, în cadrul procesului de consultare extins la nivel național, au avut loc consultări suplimentară online în data de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9 decembrie 2025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cu participarea factorilor interesați relevanți din județul Vrancea.</w:t>
      </w:r>
    </w:p>
    <w:p w:rsidR="00000000" w:rsidDel="00000000" w:rsidP="00000000" w:rsidRDefault="00000000" w:rsidRPr="00000000" w14:paraId="000000A3">
      <w:pPr>
        <w:spacing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A6">
      <w:pPr>
        <w:spacing w:after="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  </w:t>
      </w: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08hUNumm2ATppf1wbPy0MGXGUw==">CgMxLjAyDmgubjNmYzV0bW05N256Mg5oLmo1MDdyODVuNWlseDgAciExNE1pRXJJUmZRekF5WHJSLUNuRjVNXzBzRlFjMUZhMWk=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